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F6C6" w14:textId="7B9B76ED" w:rsidR="00B21CE8" w:rsidRDefault="00B21CE8" w:rsidP="00B21CE8">
      <w:pPr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454DDC">
        <w:rPr>
          <w:rFonts w:ascii="Times New Roman" w:eastAsia="Arial" w:hAnsi="Times New Roman" w:cs="Times New Roman"/>
          <w:b/>
          <w:sz w:val="20"/>
          <w:szCs w:val="20"/>
        </w:rPr>
        <w:t xml:space="preserve">Załącznik nr </w:t>
      </w:r>
      <w:r w:rsidR="00B1129E">
        <w:rPr>
          <w:rFonts w:ascii="Times New Roman" w:eastAsia="Arial" w:hAnsi="Times New Roman" w:cs="Times New Roman"/>
          <w:b/>
          <w:sz w:val="20"/>
          <w:szCs w:val="20"/>
        </w:rPr>
        <w:t>6</w:t>
      </w:r>
    </w:p>
    <w:p w14:paraId="379BDE26" w14:textId="77777777" w:rsidR="00B21CE8" w:rsidRPr="00803F25" w:rsidRDefault="00B21CE8" w:rsidP="00B21CE8">
      <w:pPr>
        <w:jc w:val="right"/>
        <w:rPr>
          <w:rFonts w:ascii="Arial" w:hAnsi="Arial" w:cs="Arial"/>
          <w:sz w:val="20"/>
          <w:szCs w:val="20"/>
        </w:rPr>
      </w:pPr>
    </w:p>
    <w:p w14:paraId="1B84DC82" w14:textId="77777777" w:rsidR="0099724E" w:rsidRPr="00803F25" w:rsidRDefault="0099724E" w:rsidP="0099724E">
      <w:pPr>
        <w:jc w:val="center"/>
        <w:rPr>
          <w:rFonts w:ascii="Arial" w:hAnsi="Arial" w:cs="Arial"/>
          <w:b/>
          <w:bCs/>
        </w:rPr>
      </w:pPr>
      <w:r w:rsidRPr="00803F25">
        <w:rPr>
          <w:rFonts w:ascii="Arial" w:hAnsi="Arial" w:cs="Arial"/>
          <w:b/>
          <w:bCs/>
        </w:rPr>
        <w:t>WZÓR</w:t>
      </w:r>
    </w:p>
    <w:p w14:paraId="38497864" w14:textId="3E01F43C" w:rsidR="00B21CE8" w:rsidRPr="00803F25" w:rsidRDefault="003C5264" w:rsidP="0099724E">
      <w:pPr>
        <w:jc w:val="center"/>
        <w:rPr>
          <w:rFonts w:ascii="Arial" w:hAnsi="Arial" w:cs="Arial"/>
        </w:rPr>
      </w:pPr>
      <w:r w:rsidRPr="00803F25">
        <w:rPr>
          <w:rFonts w:ascii="Arial" w:hAnsi="Arial" w:cs="Arial"/>
        </w:rPr>
        <w:t>OKRESY</w:t>
      </w:r>
      <w:r w:rsidR="00772771" w:rsidRPr="00803F25">
        <w:rPr>
          <w:rFonts w:ascii="Arial" w:hAnsi="Arial" w:cs="Arial"/>
        </w:rPr>
        <w:t xml:space="preserve"> POMIARU</w:t>
      </w:r>
      <w:r w:rsidR="00001615" w:rsidRPr="00803F25">
        <w:rPr>
          <w:rFonts w:ascii="Arial" w:hAnsi="Arial" w:cs="Arial"/>
        </w:rPr>
        <w:t xml:space="preserve">, MIERNIKI ORAZ </w:t>
      </w:r>
      <w:r w:rsidR="00C94AC6" w:rsidRPr="00803F25">
        <w:rPr>
          <w:rFonts w:ascii="Arial" w:hAnsi="Arial" w:cs="Arial"/>
        </w:rPr>
        <w:t>WY</w:t>
      </w:r>
      <w:r w:rsidR="0056027F" w:rsidRPr="00803F25">
        <w:rPr>
          <w:rFonts w:ascii="Arial" w:hAnsi="Arial" w:cs="Arial"/>
        </w:rPr>
        <w:t xml:space="preserve">SOKOŚĆ </w:t>
      </w:r>
      <w:r w:rsidR="00B21CE8" w:rsidRPr="00803F25">
        <w:rPr>
          <w:rFonts w:ascii="Arial" w:hAnsi="Arial" w:cs="Arial"/>
        </w:rPr>
        <w:t>WSKAŹNIK</w:t>
      </w:r>
      <w:r w:rsidR="0056027F" w:rsidRPr="00803F25">
        <w:rPr>
          <w:rFonts w:ascii="Arial" w:hAnsi="Arial" w:cs="Arial"/>
        </w:rPr>
        <w:t xml:space="preserve">A </w:t>
      </w:r>
      <w:r w:rsidR="002C5F6E" w:rsidRPr="00803F25">
        <w:rPr>
          <w:rFonts w:ascii="Arial" w:hAnsi="Arial" w:cs="Arial"/>
        </w:rPr>
        <w:t xml:space="preserve">KOS-BAR </w:t>
      </w:r>
      <w:r w:rsidR="00B732FA" w:rsidRPr="00803F25">
        <w:rPr>
          <w:rFonts w:ascii="Arial" w:hAnsi="Arial" w:cs="Arial"/>
        </w:rPr>
        <w:t>UPRAWNIAJĄC</w:t>
      </w:r>
      <w:r w:rsidR="00936763">
        <w:rPr>
          <w:rFonts w:ascii="Arial" w:hAnsi="Arial" w:cs="Arial"/>
        </w:rPr>
        <w:t>E</w:t>
      </w:r>
      <w:r w:rsidR="00B732FA" w:rsidRPr="00803F25">
        <w:rPr>
          <w:rFonts w:ascii="Arial" w:hAnsi="Arial" w:cs="Arial"/>
        </w:rPr>
        <w:t xml:space="preserve"> DO</w:t>
      </w:r>
      <w:r w:rsidR="00772771" w:rsidRPr="00803F25">
        <w:rPr>
          <w:rFonts w:ascii="Arial" w:hAnsi="Arial" w:cs="Arial"/>
        </w:rPr>
        <w:t xml:space="preserve"> </w:t>
      </w:r>
      <w:r w:rsidR="002C5F6E" w:rsidRPr="00803F25">
        <w:rPr>
          <w:rFonts w:ascii="Arial" w:hAnsi="Arial" w:cs="Arial"/>
        </w:rPr>
        <w:t>UZYSKANIA</w:t>
      </w:r>
      <w:r w:rsidR="00B21CE8" w:rsidRPr="00803F25">
        <w:rPr>
          <w:rFonts w:ascii="Arial" w:hAnsi="Arial" w:cs="Arial"/>
        </w:rPr>
        <w:t xml:space="preserve"> BONUS</w:t>
      </w:r>
      <w:r w:rsidR="00744BE3" w:rsidRPr="00803F25">
        <w:rPr>
          <w:rFonts w:ascii="Arial" w:hAnsi="Arial" w:cs="Arial"/>
        </w:rPr>
        <w:t>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0"/>
        <w:gridCol w:w="1989"/>
        <w:gridCol w:w="3214"/>
        <w:gridCol w:w="2138"/>
        <w:gridCol w:w="1622"/>
      </w:tblGrid>
      <w:tr w:rsidR="007A5498" w:rsidRPr="00412B3D" w14:paraId="262DAA1C" w14:textId="77777777" w:rsidTr="00AA22DD">
        <w:trPr>
          <w:trHeight w:val="4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4D3706B" w14:textId="0291EFFC" w:rsidR="003A3FFA" w:rsidRPr="00803F25" w:rsidRDefault="00896678" w:rsidP="00AA2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39620" w14:textId="4347E499" w:rsidR="003A3FFA" w:rsidRPr="00803F25" w:rsidRDefault="003C5264" w:rsidP="00AA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l-PL"/>
              </w:rPr>
              <w:t>Okres p</w:t>
            </w:r>
            <w:r w:rsidR="003A3FFA" w:rsidRPr="00803F25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l-PL"/>
              </w:rPr>
              <w:t>omiar</w:t>
            </w:r>
            <w:r w:rsidR="00104532" w:rsidRPr="00803F25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30AA9" w14:textId="5D679168" w:rsidR="003A3FFA" w:rsidRPr="00803F25" w:rsidRDefault="003A3FFA" w:rsidP="00AA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l-PL"/>
              </w:rPr>
              <w:t>Miernik pomiaru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1CE8B7" w14:textId="641009EA" w:rsidR="003A3FFA" w:rsidRPr="00803F25" w:rsidRDefault="003A3FFA" w:rsidP="00AA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l-PL"/>
              </w:rPr>
              <w:t>Wskaźnik pomiaru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86D80" w14:textId="104543DB" w:rsidR="003A3FFA" w:rsidRPr="00803F25" w:rsidRDefault="007A5498" w:rsidP="00AA2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l-PL"/>
              </w:rPr>
              <w:t xml:space="preserve">Współczynnik korygujący </w:t>
            </w:r>
          </w:p>
        </w:tc>
      </w:tr>
      <w:tr w:rsidR="007A5498" w:rsidRPr="00412B3D" w14:paraId="7C6E9ABF" w14:textId="77777777" w:rsidTr="002B48D9">
        <w:trPr>
          <w:trHeight w:val="584"/>
        </w:trPr>
        <w:tc>
          <w:tcPr>
            <w:tcW w:w="562" w:type="dxa"/>
            <w:vMerge w:val="restart"/>
            <w:shd w:val="clear" w:color="auto" w:fill="FFFFFF" w:themeFill="background1"/>
          </w:tcPr>
          <w:p w14:paraId="3656728C" w14:textId="1917F145" w:rsidR="003A3FFA" w:rsidRPr="00803F25" w:rsidRDefault="003A3FFA" w:rsidP="00B112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3A925" w14:textId="4C48D999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po </w:t>
            </w:r>
            <w:r w:rsidR="0064171B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upływie </w:t>
            </w: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3-6 miesi</w:t>
            </w:r>
            <w:r w:rsidR="0064171B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ęcy</w:t>
            </w: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 </w:t>
            </w:r>
            <w:r w:rsidR="00B45EFD"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okresu przygotowawczego </w:t>
            </w: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przed zabiegiem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CDA63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Utrata masy ciała 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30206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8%</w:t>
            </w:r>
          </w:p>
          <w:p w14:paraId="2D6175F9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Powyżej 10%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7AA7A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1,05</w:t>
            </w:r>
          </w:p>
          <w:p w14:paraId="4E53B5B4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1,1</w:t>
            </w:r>
          </w:p>
        </w:tc>
      </w:tr>
      <w:tr w:rsidR="007A5498" w:rsidRPr="00412B3D" w14:paraId="1DBD90B1" w14:textId="77777777" w:rsidTr="002B48D9">
        <w:trPr>
          <w:trHeight w:val="584"/>
        </w:trPr>
        <w:tc>
          <w:tcPr>
            <w:tcW w:w="562" w:type="dxa"/>
            <w:vMerge/>
            <w:shd w:val="clear" w:color="auto" w:fill="FFFFFF" w:themeFill="background1"/>
          </w:tcPr>
          <w:p w14:paraId="4EC6C366" w14:textId="77777777" w:rsidR="003A3FFA" w:rsidRPr="00803F25" w:rsidRDefault="003A3FFA" w:rsidP="003A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14:paraId="3A3381DB" w14:textId="3EFB6E64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97AC2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% pacjentów zakwalifikowanych do operacji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75A44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90%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EAADD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1,1</w:t>
            </w:r>
          </w:p>
        </w:tc>
      </w:tr>
      <w:tr w:rsidR="007A5498" w:rsidRPr="00412B3D" w14:paraId="778A3D84" w14:textId="77777777" w:rsidTr="002B48D9">
        <w:trPr>
          <w:trHeight w:val="584"/>
        </w:trPr>
        <w:tc>
          <w:tcPr>
            <w:tcW w:w="562" w:type="dxa"/>
            <w:vMerge w:val="restart"/>
            <w:shd w:val="clear" w:color="auto" w:fill="FFFFFF" w:themeFill="background1"/>
          </w:tcPr>
          <w:p w14:paraId="0823DCA2" w14:textId="77777777" w:rsidR="003A3FFA" w:rsidRPr="00803F25" w:rsidRDefault="003A3FFA" w:rsidP="00B112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496D1" w14:textId="21D0AB26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po </w:t>
            </w:r>
            <w:r w:rsidR="0064171B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upływie </w:t>
            </w: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30 dni </w:t>
            </w:r>
            <w:r w:rsidR="00464335"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br/>
            </w:r>
            <w:r w:rsidR="00C64AF0"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od </w:t>
            </w:r>
            <w:r w:rsidR="0064171B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dnia wykonania </w:t>
            </w: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zabiegu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A9277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Śmiertelność  (średnia)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19E18" w14:textId="6B102E4D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poniżej 0,5%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AE7C5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1,2</w:t>
            </w:r>
          </w:p>
        </w:tc>
      </w:tr>
      <w:tr w:rsidR="007A5498" w:rsidRPr="00412B3D" w14:paraId="739AE3C8" w14:textId="77777777" w:rsidTr="002B48D9">
        <w:trPr>
          <w:trHeight w:val="584"/>
        </w:trPr>
        <w:tc>
          <w:tcPr>
            <w:tcW w:w="562" w:type="dxa"/>
            <w:vMerge/>
            <w:shd w:val="clear" w:color="auto" w:fill="FFFFFF" w:themeFill="background1"/>
          </w:tcPr>
          <w:p w14:paraId="496C0D9A" w14:textId="77777777" w:rsidR="003A3FFA" w:rsidRPr="00803F25" w:rsidRDefault="003A3FFA" w:rsidP="003A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14:paraId="0D66DFB3" w14:textId="3022FDB6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09B7C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Czas hospitalizacji (średnia)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9CC80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Poniżej 3 dni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705EC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1,1</w:t>
            </w:r>
          </w:p>
        </w:tc>
      </w:tr>
      <w:tr w:rsidR="007A5498" w:rsidRPr="00412B3D" w14:paraId="0C42D63D" w14:textId="77777777" w:rsidTr="002B48D9">
        <w:trPr>
          <w:trHeight w:val="584"/>
        </w:trPr>
        <w:tc>
          <w:tcPr>
            <w:tcW w:w="562" w:type="dxa"/>
            <w:vMerge/>
            <w:shd w:val="clear" w:color="auto" w:fill="FFFFFF" w:themeFill="background1"/>
          </w:tcPr>
          <w:p w14:paraId="35365ABF" w14:textId="77777777" w:rsidR="003A3FFA" w:rsidRPr="00803F25" w:rsidRDefault="003A3FFA" w:rsidP="003A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14:paraId="18216093" w14:textId="56B33CF5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2B70D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Wczesne powikłania (w skali CD 3-4) (średnia lub indywidualnie)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54AC8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Poniżej 5%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2CB6C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1,1</w:t>
            </w:r>
          </w:p>
        </w:tc>
      </w:tr>
      <w:tr w:rsidR="007A5498" w:rsidRPr="00412B3D" w14:paraId="62135BD7" w14:textId="77777777" w:rsidTr="002B48D9">
        <w:trPr>
          <w:trHeight w:val="584"/>
        </w:trPr>
        <w:tc>
          <w:tcPr>
            <w:tcW w:w="562" w:type="dxa"/>
            <w:vMerge w:val="restart"/>
            <w:shd w:val="clear" w:color="auto" w:fill="FFFFFF" w:themeFill="background1"/>
          </w:tcPr>
          <w:p w14:paraId="7E798035" w14:textId="77777777" w:rsidR="003A3FFA" w:rsidRPr="00803F25" w:rsidRDefault="003A3FFA" w:rsidP="00B112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19A21" w14:textId="5D428374" w:rsidR="009460FF" w:rsidRPr="00803F25" w:rsidRDefault="003A3FFA" w:rsidP="003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po </w:t>
            </w:r>
            <w:r w:rsidR="0064171B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upływie </w:t>
            </w: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</w:t>
            </w:r>
            <w:r w:rsidR="0031391F"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2</w:t>
            </w: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 miesi</w:t>
            </w:r>
            <w:r w:rsidR="0064171B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ęcy</w:t>
            </w:r>
            <w:r w:rsidR="00464335"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br/>
            </w: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od </w:t>
            </w:r>
            <w:r w:rsidR="0064171B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dnia wykonania </w:t>
            </w: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zabiegu</w:t>
            </w:r>
            <w:r w:rsidR="00DB118A"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2D820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Wskaźnik </w:t>
            </w:r>
            <w:proofErr w:type="spellStart"/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bariatryczny</w:t>
            </w:r>
            <w:proofErr w:type="spellEnd"/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 (EWL)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A3271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E0BB1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1,2</w:t>
            </w:r>
          </w:p>
        </w:tc>
      </w:tr>
      <w:tr w:rsidR="007A5498" w:rsidRPr="00412B3D" w14:paraId="400DF986" w14:textId="77777777" w:rsidTr="002B48D9">
        <w:trPr>
          <w:trHeight w:val="584"/>
        </w:trPr>
        <w:tc>
          <w:tcPr>
            <w:tcW w:w="562" w:type="dxa"/>
            <w:vMerge/>
            <w:shd w:val="clear" w:color="auto" w:fill="FFFFFF" w:themeFill="background1"/>
          </w:tcPr>
          <w:p w14:paraId="39149E04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14:paraId="1BB73F71" w14:textId="0699105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9A0F3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Późne powikłania (w skali CD 3-4)  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06E61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Poniżej 3 %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772DB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1,2</w:t>
            </w:r>
          </w:p>
        </w:tc>
      </w:tr>
      <w:tr w:rsidR="007A5498" w:rsidRPr="00412B3D" w14:paraId="2D1DDD21" w14:textId="77777777" w:rsidTr="002B48D9">
        <w:trPr>
          <w:trHeight w:val="584"/>
        </w:trPr>
        <w:tc>
          <w:tcPr>
            <w:tcW w:w="562" w:type="dxa"/>
            <w:vMerge/>
            <w:shd w:val="clear" w:color="auto" w:fill="FFFFFF" w:themeFill="background1"/>
          </w:tcPr>
          <w:p w14:paraId="7DFD113B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14:paraId="732A6BD5" w14:textId="2F7A32D6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7C8A2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Brak bezdechu sennego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8CB3D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9BB93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1,1</w:t>
            </w:r>
          </w:p>
        </w:tc>
      </w:tr>
      <w:tr w:rsidR="007A5498" w:rsidRPr="00412B3D" w14:paraId="461ABAD6" w14:textId="77777777" w:rsidTr="002B48D9">
        <w:trPr>
          <w:trHeight w:val="584"/>
        </w:trPr>
        <w:tc>
          <w:tcPr>
            <w:tcW w:w="562" w:type="dxa"/>
            <w:vMerge/>
            <w:shd w:val="clear" w:color="auto" w:fill="FFFFFF" w:themeFill="background1"/>
          </w:tcPr>
          <w:p w14:paraId="4453F4D0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14:paraId="6DB915F3" w14:textId="0B7FE3D4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BF8BF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Remisja cukrzycy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7D6BA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Częściowa remisja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58412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1,1</w:t>
            </w:r>
          </w:p>
          <w:p w14:paraId="08A892F7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1,05</w:t>
            </w:r>
          </w:p>
        </w:tc>
      </w:tr>
      <w:tr w:rsidR="007A5498" w:rsidRPr="00412B3D" w14:paraId="070CF74B" w14:textId="77777777" w:rsidTr="002B48D9">
        <w:trPr>
          <w:trHeight w:val="584"/>
        </w:trPr>
        <w:tc>
          <w:tcPr>
            <w:tcW w:w="562" w:type="dxa"/>
            <w:vMerge/>
            <w:shd w:val="clear" w:color="auto" w:fill="FFFFFF" w:themeFill="background1"/>
          </w:tcPr>
          <w:p w14:paraId="039241C5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14:paraId="0A7E8AEC" w14:textId="75EF9774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437C8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Remisja astmy, </w:t>
            </w:r>
            <w:proofErr w:type="spellStart"/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POChP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0DB9B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Częściowa remisja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58807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1,1</w:t>
            </w:r>
          </w:p>
          <w:p w14:paraId="0010294C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1,0,5</w:t>
            </w:r>
          </w:p>
        </w:tc>
      </w:tr>
      <w:tr w:rsidR="007A5498" w:rsidRPr="00412B3D" w14:paraId="39F82459" w14:textId="77777777" w:rsidTr="002B48D9">
        <w:trPr>
          <w:trHeight w:val="584"/>
        </w:trPr>
        <w:tc>
          <w:tcPr>
            <w:tcW w:w="562" w:type="dxa"/>
            <w:vMerge/>
            <w:shd w:val="clear" w:color="auto" w:fill="FFFFFF" w:themeFill="background1"/>
          </w:tcPr>
          <w:p w14:paraId="06110EB9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14:paraId="1777B1F2" w14:textId="76A07E0F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24CCC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Cholesterol całkowity 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92B7C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Spadek o  30%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6019A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1,05</w:t>
            </w:r>
          </w:p>
        </w:tc>
      </w:tr>
      <w:tr w:rsidR="007A5498" w:rsidRPr="00412B3D" w14:paraId="6703E69F" w14:textId="77777777" w:rsidTr="002B48D9">
        <w:trPr>
          <w:trHeight w:val="584"/>
        </w:trPr>
        <w:tc>
          <w:tcPr>
            <w:tcW w:w="562" w:type="dxa"/>
            <w:vMerge/>
            <w:shd w:val="clear" w:color="auto" w:fill="FFFFFF" w:themeFill="background1"/>
          </w:tcPr>
          <w:p w14:paraId="37B66724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73508" w14:textId="795B1EB8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20181" w14:textId="77777777" w:rsidR="003A3FFA" w:rsidRPr="00803F25" w:rsidRDefault="003A3FFA" w:rsidP="00B21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Powrót do aktywności  zawodowej 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6BA16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8D157" w14:textId="77777777" w:rsidR="003A3FFA" w:rsidRPr="00803F25" w:rsidRDefault="003A3FFA" w:rsidP="002B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3F25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>1,2</w:t>
            </w:r>
          </w:p>
        </w:tc>
      </w:tr>
    </w:tbl>
    <w:p w14:paraId="29C77C6D" w14:textId="759C5969" w:rsidR="008016B8" w:rsidRPr="00803F25" w:rsidRDefault="008016B8">
      <w:pPr>
        <w:rPr>
          <w:rFonts w:ascii="Arial" w:hAnsi="Arial" w:cs="Arial"/>
        </w:rPr>
      </w:pPr>
    </w:p>
    <w:sectPr w:rsidR="008016B8" w:rsidRPr="00803F25" w:rsidSect="006E5FA6">
      <w:pgSz w:w="11906" w:h="16838"/>
      <w:pgMar w:top="992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AF25" w14:textId="77777777" w:rsidR="000C03C1" w:rsidRDefault="000C03C1" w:rsidP="001D3B63">
      <w:pPr>
        <w:spacing w:after="0" w:line="240" w:lineRule="auto"/>
      </w:pPr>
      <w:r>
        <w:separator/>
      </w:r>
    </w:p>
  </w:endnote>
  <w:endnote w:type="continuationSeparator" w:id="0">
    <w:p w14:paraId="503197C8" w14:textId="77777777" w:rsidR="000C03C1" w:rsidRDefault="000C03C1" w:rsidP="001D3B63">
      <w:pPr>
        <w:spacing w:after="0" w:line="240" w:lineRule="auto"/>
      </w:pPr>
      <w:r>
        <w:continuationSeparator/>
      </w:r>
    </w:p>
  </w:endnote>
  <w:endnote w:type="continuationNotice" w:id="1">
    <w:p w14:paraId="106A3CA4" w14:textId="77777777" w:rsidR="000C03C1" w:rsidRDefault="000C03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A9E5" w14:textId="77777777" w:rsidR="000C03C1" w:rsidRDefault="000C03C1" w:rsidP="001D3B63">
      <w:pPr>
        <w:spacing w:after="0" w:line="240" w:lineRule="auto"/>
      </w:pPr>
      <w:r>
        <w:separator/>
      </w:r>
    </w:p>
  </w:footnote>
  <w:footnote w:type="continuationSeparator" w:id="0">
    <w:p w14:paraId="2BF8EBEA" w14:textId="77777777" w:rsidR="000C03C1" w:rsidRDefault="000C03C1" w:rsidP="001D3B63">
      <w:pPr>
        <w:spacing w:after="0" w:line="240" w:lineRule="auto"/>
      </w:pPr>
      <w:r>
        <w:continuationSeparator/>
      </w:r>
    </w:p>
  </w:footnote>
  <w:footnote w:type="continuationNotice" w:id="1">
    <w:p w14:paraId="380D4958" w14:textId="77777777" w:rsidR="000C03C1" w:rsidRDefault="000C03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E53"/>
    <w:multiLevelType w:val="hybridMultilevel"/>
    <w:tmpl w:val="39B68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E6FDA"/>
    <w:multiLevelType w:val="hybridMultilevel"/>
    <w:tmpl w:val="F5183674"/>
    <w:lvl w:ilvl="0" w:tplc="64D4B21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5927"/>
    <w:multiLevelType w:val="multilevel"/>
    <w:tmpl w:val="01C2E614"/>
    <w:lvl w:ilvl="0">
      <w:start w:val="1"/>
      <w:numFmt w:val="decimal"/>
      <w:pStyle w:val="02TrewypunktowaniepodstRaportW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F01D52"/>
    <w:multiLevelType w:val="hybridMultilevel"/>
    <w:tmpl w:val="8948F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E8"/>
    <w:rsid w:val="00001615"/>
    <w:rsid w:val="000231D9"/>
    <w:rsid w:val="000C03C1"/>
    <w:rsid w:val="000C74F2"/>
    <w:rsid w:val="00104532"/>
    <w:rsid w:val="001807DC"/>
    <w:rsid w:val="001D3B63"/>
    <w:rsid w:val="001E2C1B"/>
    <w:rsid w:val="001F7C6C"/>
    <w:rsid w:val="00220CD2"/>
    <w:rsid w:val="002433BD"/>
    <w:rsid w:val="00261981"/>
    <w:rsid w:val="00285AD5"/>
    <w:rsid w:val="002B4178"/>
    <w:rsid w:val="002B48D9"/>
    <w:rsid w:val="002C5F6E"/>
    <w:rsid w:val="0031391F"/>
    <w:rsid w:val="003A3FFA"/>
    <w:rsid w:val="003C5264"/>
    <w:rsid w:val="00412B3D"/>
    <w:rsid w:val="00456150"/>
    <w:rsid w:val="00464335"/>
    <w:rsid w:val="004B4553"/>
    <w:rsid w:val="0056027F"/>
    <w:rsid w:val="00587CA3"/>
    <w:rsid w:val="005C6A71"/>
    <w:rsid w:val="006006D1"/>
    <w:rsid w:val="00620A20"/>
    <w:rsid w:val="0064171B"/>
    <w:rsid w:val="00674A57"/>
    <w:rsid w:val="006D55D8"/>
    <w:rsid w:val="006E5FA6"/>
    <w:rsid w:val="00744BE3"/>
    <w:rsid w:val="00772771"/>
    <w:rsid w:val="007A5498"/>
    <w:rsid w:val="007C6340"/>
    <w:rsid w:val="008016B8"/>
    <w:rsid w:val="00803F25"/>
    <w:rsid w:val="00896678"/>
    <w:rsid w:val="00914BC5"/>
    <w:rsid w:val="00936763"/>
    <w:rsid w:val="009460FF"/>
    <w:rsid w:val="009738CD"/>
    <w:rsid w:val="0099724E"/>
    <w:rsid w:val="009D48E1"/>
    <w:rsid w:val="00A85D89"/>
    <w:rsid w:val="00A95941"/>
    <w:rsid w:val="00AA22DD"/>
    <w:rsid w:val="00AC034E"/>
    <w:rsid w:val="00B1129E"/>
    <w:rsid w:val="00B21CE8"/>
    <w:rsid w:val="00B45EFD"/>
    <w:rsid w:val="00B732FA"/>
    <w:rsid w:val="00BD2A53"/>
    <w:rsid w:val="00C00186"/>
    <w:rsid w:val="00C00383"/>
    <w:rsid w:val="00C269F8"/>
    <w:rsid w:val="00C32D77"/>
    <w:rsid w:val="00C64AF0"/>
    <w:rsid w:val="00C903B1"/>
    <w:rsid w:val="00C94AC6"/>
    <w:rsid w:val="00CF4BC9"/>
    <w:rsid w:val="00DB118A"/>
    <w:rsid w:val="00E003E7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0538"/>
  <w15:chartTrackingRefBased/>
  <w15:docId w15:val="{D58B035F-38F6-4E6C-BFD2-E6C8E48F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TrewypunktowaniepodstRaportWS">
    <w:name w:val="02_Treść_wypunktowanie_podst_Raport_WS"/>
    <w:basedOn w:val="Akapitzlist"/>
    <w:link w:val="02TrewypunktowaniepodstRaportWSZnak"/>
    <w:qFormat/>
    <w:rsid w:val="004B4553"/>
    <w:pPr>
      <w:numPr>
        <w:numId w:val="2"/>
      </w:numPr>
      <w:tabs>
        <w:tab w:val="left" w:pos="851"/>
      </w:tabs>
      <w:spacing w:before="60" w:after="60" w:line="264" w:lineRule="auto"/>
      <w:ind w:left="851"/>
      <w:contextualSpacing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02TrewypunktowaniepodstRaportWSZnak">
    <w:name w:val="02_Treść_wypunktowanie_podst_Raport_WS Znak"/>
    <w:basedOn w:val="Domylnaczcionkaakapitu"/>
    <w:link w:val="02TrewypunktowaniepodstRaportWS"/>
    <w:rsid w:val="004B455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B45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B63"/>
  </w:style>
  <w:style w:type="paragraph" w:styleId="Stopka">
    <w:name w:val="footer"/>
    <w:basedOn w:val="Normalny"/>
    <w:link w:val="StopkaZnak"/>
    <w:uiPriority w:val="99"/>
    <w:unhideWhenUsed/>
    <w:rsid w:val="001D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B63"/>
  </w:style>
  <w:style w:type="paragraph" w:styleId="Tekstdymka">
    <w:name w:val="Balloon Text"/>
    <w:basedOn w:val="Normalny"/>
    <w:link w:val="TekstdymkaZnak"/>
    <w:uiPriority w:val="99"/>
    <w:semiHidden/>
    <w:unhideWhenUsed/>
    <w:rsid w:val="0041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B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7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110F-B0F3-474A-A589-88D59604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Mańkowska</dc:creator>
  <cp:keywords/>
  <dc:description/>
  <cp:lastModifiedBy>Teleon Adela</cp:lastModifiedBy>
  <cp:revision>2</cp:revision>
  <dcterms:created xsi:type="dcterms:W3CDTF">2021-05-24T11:19:00Z</dcterms:created>
  <dcterms:modified xsi:type="dcterms:W3CDTF">2021-05-24T11:19:00Z</dcterms:modified>
</cp:coreProperties>
</file>